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6FA" w:rsidRPr="00B11102" w:rsidRDefault="002006FA" w:rsidP="002006FA">
      <w:pPr>
        <w:pStyle w:val="Default"/>
        <w:jc w:val="right"/>
        <w:rPr>
          <w:caps/>
        </w:rPr>
      </w:pPr>
      <w:r w:rsidRPr="00B11102">
        <w:rPr>
          <w:caps/>
        </w:rPr>
        <w:t>УтвержденА</w:t>
      </w:r>
    </w:p>
    <w:p w:rsidR="002006FA" w:rsidRPr="00B11102" w:rsidRDefault="002006FA" w:rsidP="002006FA">
      <w:pPr>
        <w:pStyle w:val="Default"/>
        <w:jc w:val="right"/>
        <w:rPr>
          <w:caps/>
        </w:rPr>
      </w:pPr>
    </w:p>
    <w:p w:rsidR="002006FA" w:rsidRPr="00B11102" w:rsidRDefault="002006FA" w:rsidP="002006FA">
      <w:pPr>
        <w:pStyle w:val="Default"/>
        <w:jc w:val="right"/>
      </w:pPr>
      <w:r w:rsidRPr="00B11102">
        <w:t xml:space="preserve">приказом МБОУ СОШ № 8 </w:t>
      </w:r>
    </w:p>
    <w:p w:rsidR="002006FA" w:rsidRPr="00B11102" w:rsidRDefault="002006FA" w:rsidP="002006FA">
      <w:pPr>
        <w:spacing w:before="0" w:beforeAutospacing="0" w:after="0" w:afterAutospacing="0"/>
        <w:jc w:val="right"/>
        <w:rPr>
          <w:lang w:val="ru-RU"/>
        </w:rPr>
      </w:pPr>
      <w:r w:rsidRPr="00B11102">
        <w:rPr>
          <w:lang w:val="ru-RU"/>
        </w:rPr>
        <w:t xml:space="preserve">от </w:t>
      </w:r>
      <w:r w:rsidR="00B11102">
        <w:rPr>
          <w:lang w:val="ru-RU"/>
        </w:rPr>
        <w:t>09.01.2024</w:t>
      </w:r>
      <w:r w:rsidRPr="00B11102">
        <w:rPr>
          <w:lang w:val="ru-RU"/>
        </w:rPr>
        <w:t xml:space="preserve"> № 01-07</w:t>
      </w:r>
      <w:r w:rsidR="00B11102">
        <w:rPr>
          <w:lang w:val="ru-RU"/>
        </w:rPr>
        <w:t>-09</w:t>
      </w:r>
      <w:bookmarkStart w:id="0" w:name="_GoBack"/>
      <w:bookmarkEnd w:id="0"/>
    </w:p>
    <w:p w:rsidR="002006FA" w:rsidRPr="00B11102" w:rsidRDefault="002006FA" w:rsidP="002006FA">
      <w:pPr>
        <w:spacing w:before="0" w:beforeAutospacing="0" w:after="0" w:afterAutospacing="0"/>
        <w:jc w:val="right"/>
        <w:rPr>
          <w:lang w:val="ru-RU"/>
        </w:rPr>
      </w:pPr>
    </w:p>
    <w:p w:rsidR="002006FA" w:rsidRPr="002006FA" w:rsidRDefault="002006FA" w:rsidP="002006FA">
      <w:pPr>
        <w:spacing w:before="0" w:beforeAutospacing="0" w:after="0" w:afterAutospacing="0"/>
        <w:jc w:val="right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006FA" w:rsidRPr="002006FA" w:rsidRDefault="002006FA" w:rsidP="002006FA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Антикоррупционная политика</w:t>
      </w:r>
      <w:r w:rsidRPr="004F6691">
        <w:rPr>
          <w:rFonts w:ascii="Times New Roman"/>
          <w:caps/>
          <w:lang w:val="ru-RU"/>
        </w:rPr>
        <w:br/>
      </w:r>
      <w:r w:rsidRPr="002006F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Муниципального бюджетного общеобразовательного учреждения </w:t>
      </w:r>
    </w:p>
    <w:p w:rsidR="00C23B4D" w:rsidRPr="002006FA" w:rsidRDefault="002006FA" w:rsidP="002006F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«Средняя общеобразовательная школа № 8» </w:t>
      </w:r>
    </w:p>
    <w:p w:rsidR="00C23B4D" w:rsidRPr="002006FA" w:rsidRDefault="00C23B4D" w:rsidP="002006F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FA" w:rsidRPr="004F6691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Общие положения</w:t>
      </w:r>
    </w:p>
    <w:p w:rsid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Настоящая антикоррупционная политика Муниципального бюджетного общеобразовательного учреждения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Средняя общеобразовательная школа № 8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» (далее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Политика) составлена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рамках исполнения Федерального закона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25.12.2008 №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273-ФЗ «О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противодействии коррупции»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целью реализации мер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коррупции.</w:t>
      </w:r>
    </w:p>
    <w:p w:rsid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Политика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«Средняя общеобразовательная школа № 8»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представляет собой комплекс закрепленных взаимосвязанных принципов, процедур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мероприятий, направленных на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профилактику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пресечение коррупционных правонарушений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деятельности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Муниципального бюджетного общеобразовательного учреждения «Средняя общеобразовательная школа № 8»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Организация).</w:t>
      </w:r>
    </w:p>
    <w:p w:rsid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Положения Политики распространяются на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всех работников вне зависимости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занимаемой должности.</w:t>
      </w:r>
    </w:p>
    <w:p w:rsid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Для целей Политики используются следующие основные понятия:</w:t>
      </w:r>
    </w:p>
    <w:p w:rsidR="002006FA" w:rsidRDefault="002006FA" w:rsidP="002006FA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коррупция</w:t>
      </w:r>
      <w:r w:rsidRPr="002006F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государства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совершение подобных деяний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имени или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интересах юридического лица;</w:t>
      </w:r>
    </w:p>
    <w:p w:rsidR="002006FA" w:rsidRDefault="002006FA" w:rsidP="002006FA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взятка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деньги, ценные бумаги, иное имущества либо незаконное оказание услуг имущественного характера, предоставление иных имущественных прав, передаваемые должностному лицу,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когда взятка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указанию должностного лица передается иному физическому или юридическому лицу,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пользу взяткодателя или представляемых им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лиц, если такие действия (бездействие) входят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служебные полномочия должностного лица либо если оно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силу должностного положения может способствовать таким действиям (бездействию), 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равно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общее покровительство или попустительство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службе;</w:t>
      </w:r>
    </w:p>
    <w:p w:rsidR="002006FA" w:rsidRDefault="002006FA" w:rsidP="002006FA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коммерческий подкуп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незаконная передача лицу, выполняющему управленческие функции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коммерческой или иной организации, денег, ценных бумаг, иного имущества, 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также незаконные оказание ему услуг имущественного характера, предоставление иных имущественных прав (в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когда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указанию такого лица имущество передается, или услуги имущественного характера оказываются, или имущественные права предоставляются иному физическому или юридическому лицу)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совершение действий (бездействие)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интересах дающего или иных лиц, если указанные действия (бездействие) входят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служебные полномочия такого лица либо 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если оно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силу своего служебного положения может способствовать указанным действиям (бездействию);</w:t>
      </w:r>
    </w:p>
    <w:p w:rsidR="002006FA" w:rsidRDefault="002006FA" w:rsidP="002006FA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противодействие коррупции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физических лиц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пределах их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полномочий:</w:t>
      </w:r>
    </w:p>
    <w:p w:rsidR="002006FA" w:rsidRPr="002006FA" w:rsidRDefault="002006FA" w:rsidP="002006F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выявлению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последующему устранению причин коррупции (профилактика коррупции);</w:t>
      </w:r>
    </w:p>
    <w:p w:rsidR="002006FA" w:rsidRDefault="002006FA" w:rsidP="002006F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выявлению, предупреждению, пресечению, раскрытию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расследованию коррупционных правонарушений (борьба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коррупцией);</w:t>
      </w:r>
    </w:p>
    <w:p w:rsidR="00C23B4D" w:rsidRPr="002006FA" w:rsidRDefault="002006FA" w:rsidP="002006FA">
      <w:pPr>
        <w:pStyle w:val="a3"/>
        <w:numPr>
          <w:ilvl w:val="0"/>
          <w:numId w:val="19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минимизации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 (или) ликвидации последствий коррупционных правонарушений;</w:t>
      </w:r>
    </w:p>
    <w:p w:rsidR="002006FA" w:rsidRDefault="002006FA" w:rsidP="002006FA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контрагент</w:t>
      </w:r>
      <w:r w:rsidRPr="002006FA">
        <w:rPr>
          <w:rFonts w:hAnsi="Times New Roman" w:cs="Times New Roman"/>
          <w:b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любое юридическое или физическое лицо,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которым Организация вступает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договорные отношения,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исключением трудовых отношений;</w:t>
      </w:r>
    </w:p>
    <w:p w:rsidR="00C23B4D" w:rsidRPr="002006FA" w:rsidRDefault="002006FA" w:rsidP="002006FA">
      <w:pPr>
        <w:spacing w:before="0" w:beforeAutospacing="0" w:after="0" w:afterAutospacing="0"/>
        <w:ind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конфликт интересов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интересов, влияет или может повлиять на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надлежащее, объективное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беспристрастное исполнение им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должностных (служебных) обязанностей (осуществление полномочий);</w:t>
      </w:r>
    </w:p>
    <w:p w:rsidR="002006FA" w:rsidRDefault="002006FA" w:rsidP="002006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bCs/>
          <w:color w:val="000000"/>
          <w:sz w:val="24"/>
          <w:szCs w:val="24"/>
          <w:lang w:val="ru-RU"/>
        </w:rPr>
        <w:t>личная заинтересованность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– возможность получения доходов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виде денег, иного имущества,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имущественных прав, услуг имущественного характера, результатов выполненных работ или каких-либо выгод (преимуществ) лицом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 (или) состоящими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 лицами (родителями, супругами, детьми, братьями, сестрами, 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также братьями, сестрами, родителями, детьми супругов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супругами детей), гражданами или организациями,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которыми лицо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 (или) лица, состоящие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ним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близком родстве или свойстве, связаны имущественными, корпоративными или иными близкими отношениями.</w:t>
      </w:r>
    </w:p>
    <w:p w:rsidR="002006FA" w:rsidRDefault="002006FA" w:rsidP="002006F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006FA" w:rsidRPr="004F6691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Цели и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 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задачи Политики</w:t>
      </w:r>
    </w:p>
    <w:p w:rsidR="00C23B4D" w:rsidRP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Целями Политики являются:</w:t>
      </w:r>
    </w:p>
    <w:p w:rsidR="002006FA" w:rsidRDefault="002006FA" w:rsidP="002006FA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обеспечение соответствия деятельности Организации требованиям антикоррупционного законодательства;</w:t>
      </w:r>
    </w:p>
    <w:p w:rsidR="002006FA" w:rsidRDefault="002006FA" w:rsidP="002006FA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минимизация рисков вовлечения Организации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его работников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2006FA" w:rsidRDefault="002006FA" w:rsidP="002006FA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формирование единого подхода к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организации работы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2006FA" w:rsidRDefault="002006FA" w:rsidP="002006FA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работников нетерпимости к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коррупционному поведению.</w:t>
      </w:r>
    </w:p>
    <w:p w:rsidR="00C23B4D" w:rsidRP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Для достижения поставленных целей необходимо решить следующие задачи:</w:t>
      </w:r>
    </w:p>
    <w:p w:rsidR="002006FA" w:rsidRDefault="002006FA" w:rsidP="002006FA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сформировать у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работников единообразное понимание позиции Организации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неприятии коррупции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проявлениях;</w:t>
      </w:r>
    </w:p>
    <w:p w:rsidR="002006FA" w:rsidRDefault="002006FA" w:rsidP="002006FA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минимизировать риски вовлечения работников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коррупционную деятельность;</w:t>
      </w:r>
    </w:p>
    <w:p w:rsidR="002006FA" w:rsidRDefault="002006FA" w:rsidP="002006FA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определить должностных лиц, ответственных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антикоррупционных мер;</w:t>
      </w:r>
    </w:p>
    <w:p w:rsidR="002006FA" w:rsidRDefault="002006FA" w:rsidP="002006FA">
      <w:pPr>
        <w:pStyle w:val="a3"/>
        <w:numPr>
          <w:ilvl w:val="0"/>
          <w:numId w:val="2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информировать работников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нормативном правовом обеспечении работы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коррупционных правонарушений.</w:t>
      </w:r>
    </w:p>
    <w:p w:rsid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Ключевыми принципами реализации Политики являются:</w:t>
      </w:r>
    </w:p>
    <w:p w:rsidR="002006FA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неприятие коррупции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любых формах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проявлениях. Организация содействует воспитанию правового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гражданского сознания работников 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путем формирования негативного отношения к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коррупционным проявлениям;</w:t>
      </w:r>
    </w:p>
    <w:p w:rsidR="002006FA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эффективность мероприятий по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 Создание эффективной системы противодействия коррупции, 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также ее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систематическое совершенствование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учетом изменения условий внутренней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внешней среды,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законодательства РФ;</w:t>
      </w:r>
    </w:p>
    <w:p w:rsidR="002006FA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открытость информации. Обеспечение доступности для граждан, юридических лиц, средств массовой информации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институтов гражданского общества к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сведениям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деятельности, которые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РФ не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являются сведениями ограниченного доступа.</w:t>
      </w:r>
    </w:p>
    <w:p w:rsidR="00C23B4D" w:rsidRPr="002006FA" w:rsidRDefault="002006FA" w:rsidP="002006FA">
      <w:pPr>
        <w:spacing w:before="0" w:beforeAutospacing="0" w:after="0" w:afterAutospacing="0"/>
        <w:ind w:right="180" w:firstLine="42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highlight w:val="yellow"/>
          <w:u w:val="single"/>
          <w:lang w:val="ru-RU"/>
        </w:rPr>
        <w:t>В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u w:val="single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u w:val="single"/>
          <w:lang w:val="ru-RU"/>
        </w:rPr>
        <w:t>рамках реализации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 xml:space="preserve"> принципа открытости информации Организация создает на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своем официальном сайте подраздел по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вопросам противодействия коррупции. Подраздел наполняется следующей информацией:</w:t>
      </w:r>
    </w:p>
    <w:p w:rsidR="002006FA" w:rsidRPr="002006FA" w:rsidRDefault="002006FA" w:rsidP="002006FA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нормативными правовыми и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иными актами в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сфере противодействия коррупции в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действующей редакции;</w:t>
      </w:r>
    </w:p>
    <w:p w:rsidR="002006FA" w:rsidRPr="002006FA" w:rsidRDefault="002006FA" w:rsidP="002006FA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внутренними документами Организации по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вопросам противодействия коррупции;</w:t>
      </w:r>
    </w:p>
    <w:p w:rsidR="002006FA" w:rsidRPr="002006FA" w:rsidRDefault="002006FA" w:rsidP="002006FA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памятками, плакатами иным вспомогательным материалом по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вопросам профилактики коррупции.</w:t>
      </w:r>
    </w:p>
    <w:p w:rsidR="002006FA" w:rsidRDefault="002006FA" w:rsidP="002006FA">
      <w:p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006FA" w:rsidRPr="002006FA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Обязанности руководителей и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 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работников</w:t>
      </w:r>
      <w:r w:rsidRPr="002006FA">
        <w:rPr>
          <w:rFonts w:hAnsi="Times New Roman" w:cs="Times New Roman"/>
          <w:bCs/>
          <w:color w:val="000000"/>
          <w:sz w:val="24"/>
          <w:szCs w:val="24"/>
          <w:lang w:val="ru-RU"/>
        </w:rPr>
        <w:t>, связанные с</w:t>
      </w:r>
      <w:r w:rsidRPr="002006FA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bCs/>
          <w:color w:val="000000"/>
          <w:sz w:val="24"/>
          <w:szCs w:val="24"/>
          <w:lang w:val="ru-RU"/>
        </w:rPr>
        <w:t>предупреждением коррупции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Работники Организации знакомятся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Политикой под подпись при принятии на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работу или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течение семи рабочих дней после внесения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Политику изменений.</w:t>
      </w:r>
    </w:p>
    <w:p w:rsidR="00C23B4D" w:rsidRP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Руководитель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работники вне зависимости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исполнением ими трудовых обязанностей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должны:</w:t>
      </w:r>
    </w:p>
    <w:p w:rsidR="002006FA" w:rsidRDefault="002006FA" w:rsidP="002006FA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требованиями Политики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ее;</w:t>
      </w:r>
    </w:p>
    <w:p w:rsidR="002006FA" w:rsidRDefault="002006FA" w:rsidP="002006FA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совершения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 (или) участия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коррупционных правонарушений,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Организации;</w:t>
      </w:r>
    </w:p>
    <w:p w:rsidR="002006FA" w:rsidRDefault="002006FA" w:rsidP="002006FA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воздерживаться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поведения, которое может быть истолковано окружающими как готовность совершить или участвовать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совершении коррупционного правонарушения,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том числе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интересах или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имени Организации.</w:t>
      </w:r>
    </w:p>
    <w:p w:rsidR="00C23B4D" w:rsidRPr="002006FA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Работник вне зависимости от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должности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стажа работы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исполнением им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трудовых обязанностей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трудовым договором должен:</w:t>
      </w:r>
    </w:p>
    <w:p w:rsidR="002006FA" w:rsidRDefault="002006FA" w:rsidP="002006FA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случаях склонения его к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совершению коррупционных правонарушений;</w:t>
      </w:r>
    </w:p>
    <w:p w:rsidR="002006FA" w:rsidRDefault="002006FA" w:rsidP="002006FA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 информировать руководителя Организации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своего непосредственного руководителя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ставших известными ему случаях совершения коррупционных правонарушений другими работниками;</w:t>
      </w:r>
    </w:p>
    <w:p w:rsidR="002006FA" w:rsidRDefault="002006FA" w:rsidP="002006FA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сообщить руководителю Организации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своему непосредственному руководителю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возникшем конфликте интересов либо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возможности его возникновения.</w:t>
      </w:r>
    </w:p>
    <w:p w:rsidR="002006FA" w:rsidRDefault="002006FA" w:rsidP="002006FA">
      <w:p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006FA" w:rsidRDefault="002006FA" w:rsidP="002006FA">
      <w:p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006FA" w:rsidRPr="004F6691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lastRenderedPageBreak/>
        <w:t>Должностные лица, ответственные за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 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реализацию Политики.</w:t>
      </w:r>
    </w:p>
    <w:p w:rsid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Руководитель Организации является ответственным за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организацию всех мероприятий, направленных на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предупреждение коррупции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Руководитель Организации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исходя из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стоящих перед Организацией задач, специфики деятельности, штатной численности, организационной структуры назначает лицо или несколько лиц, ответственных за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C23B4D" w:rsidRP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Основные обязанности должностного лица (должностных лиц), ответственного (ответственных) за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реализацию Политики и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проведение антикоррупционной работы в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Организации:</w:t>
      </w:r>
    </w:p>
    <w:p w:rsidR="000C1E52" w:rsidRPr="000C1E52" w:rsidRDefault="002006FA" w:rsidP="000C1E5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проводить мониторинг информации с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целью предупреждения коррупционных правонарушений в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Организации;</w:t>
      </w:r>
    </w:p>
    <w:p w:rsidR="000C1E52" w:rsidRPr="000C1E52" w:rsidRDefault="002006FA" w:rsidP="000C1E5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разрабатывать локальные нормативные акты, направленные на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предупреждение коррупции в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Организации;</w:t>
      </w:r>
    </w:p>
    <w:p w:rsidR="000C1E52" w:rsidRPr="000C1E52" w:rsidRDefault="002006FA" w:rsidP="000C1E5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реализовывать и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контролировать меры по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предупреждению коррупции в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Организации;</w:t>
      </w:r>
    </w:p>
    <w:p w:rsidR="00C23B4D" w:rsidRPr="000C1E52" w:rsidRDefault="002006FA" w:rsidP="000C1E52">
      <w:pPr>
        <w:pStyle w:val="a3"/>
        <w:numPr>
          <w:ilvl w:val="0"/>
          <w:numId w:val="25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оценивать коррупционные риски в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highlight w:val="yellow"/>
          <w:lang w:val="ru-RU"/>
        </w:rPr>
        <w:t>Организации.</w:t>
      </w:r>
    </w:p>
    <w:p w:rsidR="000C1E52" w:rsidRPr="000C1E52" w:rsidRDefault="002006FA" w:rsidP="000C1E52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Остальные полномочия ответственного за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проведение антикоррупционной работы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Организации определяются его должностной инструкцией.</w:t>
      </w:r>
    </w:p>
    <w:p w:rsidR="000C1E52" w:rsidRDefault="000C1E52" w:rsidP="000C1E52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0C1E52" w:rsidRPr="004F6691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Ответственность за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 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несоблюдение требований Политики</w:t>
      </w:r>
      <w:r w:rsidR="000C1E52"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.</w:t>
      </w:r>
    </w:p>
    <w:p w:rsid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Руководители структурных подразделений являются ответственными за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обеспечение контроля за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соблюдением требований Политики своими подчиненными.</w:t>
      </w:r>
    </w:p>
    <w:p w:rsid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Лица, виновные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нарушении требований Политики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антикоррупционного законодательства, несут ответственность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основаниям, предусмотренным законодательством РФ,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том числе могут подвергаться дисциплинарным взысканиям.</w:t>
      </w:r>
    </w:p>
    <w:p w:rsidR="000C1E52" w:rsidRDefault="000C1E52" w:rsidP="000C1E52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0C1E52" w:rsidRPr="004F6691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Оценка коррупционных рисков</w:t>
      </w:r>
    </w:p>
    <w:p w:rsid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Целью оценки коррупционных рисков является определение конкретных процессов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видов деятельности Организации, при реализации которых наиболее высока вероятность совершения работниками коррупционных правонарушений как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личной выгоды, так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выгоды Организацией.</w:t>
      </w:r>
    </w:p>
    <w:p w:rsid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Оценка коррупционных рисков позволяет обеспечить соответствие реализуемых антикоррупционных мероприятий специфике деятельности Организации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рационально использовать ресурсы, направляемые 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проведение работы по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профилактике коррупции.</w:t>
      </w:r>
    </w:p>
    <w:p w:rsidR="00C23B4D" w:rsidRPr="000C1E52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 оценки коррупционных рисков. Процедура оценки коррупционных рисков состоит из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четырех последовательных этапов:</w:t>
      </w:r>
    </w:p>
    <w:p w:rsidR="000C1E52" w:rsidRDefault="000C1E52" w:rsidP="000C1E52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</w:t>
      </w:r>
      <w:r w:rsidR="002006FA" w:rsidRPr="000C1E52">
        <w:rPr>
          <w:rFonts w:hAnsi="Times New Roman" w:cs="Times New Roman"/>
          <w:color w:val="000000"/>
          <w:sz w:val="24"/>
          <w:szCs w:val="24"/>
        </w:rPr>
        <w:t>одготовительного</w:t>
      </w:r>
      <w:proofErr w:type="spellEnd"/>
      <w:r w:rsidR="002006FA" w:rsidRPr="000C1E52">
        <w:rPr>
          <w:rFonts w:hAnsi="Times New Roman" w:cs="Times New Roman"/>
          <w:color w:val="000000"/>
          <w:sz w:val="24"/>
          <w:szCs w:val="24"/>
        </w:rPr>
        <w:t>;</w:t>
      </w:r>
    </w:p>
    <w:p w:rsidR="000C1E52" w:rsidRDefault="002006FA" w:rsidP="000C1E52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описания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процессов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>;</w:t>
      </w:r>
    </w:p>
    <w:p w:rsidR="000C1E52" w:rsidRDefault="002006FA" w:rsidP="000C1E52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идентификации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коррупционных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рисков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>;</w:t>
      </w:r>
    </w:p>
    <w:p w:rsidR="000C1E52" w:rsidRDefault="002006FA" w:rsidP="002006FA">
      <w:pPr>
        <w:pStyle w:val="a3"/>
        <w:numPr>
          <w:ilvl w:val="0"/>
          <w:numId w:val="2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0C1E52">
        <w:rPr>
          <w:rFonts w:hAnsi="Times New Roman" w:cs="Times New Roman"/>
          <w:color w:val="000000"/>
          <w:sz w:val="24"/>
          <w:szCs w:val="24"/>
        </w:rPr>
        <w:t>анализа</w:t>
      </w:r>
      <w:proofErr w:type="spellEnd"/>
      <w:proofErr w:type="gramEnd"/>
      <w:r w:rsidRPr="000C1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коррупционных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рисков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>.</w:t>
      </w:r>
    </w:p>
    <w:p w:rsidR="000C1E52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подготовительном этапе руководитель Организации принимает решение о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определяет методику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план, назначает лиц, ответственных за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проведение оценки, определяет полномочия работников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проведением оценки.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Оценка коррупционных рисков может быть поручена работникам Организации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специальной организации, с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которой заключается договор 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оказание услуг</w:t>
      </w:r>
    </w:p>
    <w:p w:rsidR="000C1E52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этапе описания 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>бизнес-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процессов ответственные представляют все направления деятельности Организации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>бизнес-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процессов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подпроцессов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, оценивают их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наличие коррупционных рисков.</w:t>
      </w:r>
    </w:p>
    <w:p w:rsidR="00C23B4D" w:rsidRPr="000C1E52" w:rsidRDefault="002006FA" w:rsidP="000C1E52">
      <w:pPr>
        <w:spacing w:before="0" w:beforeAutospacing="0" w:after="0" w:afterAutospacing="0"/>
        <w:ind w:right="18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Основными критериями при определении коррупционных рисков являются следующие:</w:t>
      </w:r>
    </w:p>
    <w:p w:rsidR="000C1E52" w:rsidRDefault="002006FA" w:rsidP="000C1E52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суть бизнес-процесса, предполагающая наличие лиц, стремящихся получить выгоду (преимущество), распределяемую </w:t>
      </w:r>
      <w:proofErr w:type="spellStart"/>
      <w:proofErr w:type="gramStart"/>
      <w:r w:rsidRPr="000C1E52"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1E52">
        <w:rPr>
          <w:rFonts w:hAnsi="Times New Roman" w:cs="Times New Roman"/>
          <w:color w:val="000000"/>
          <w:sz w:val="24"/>
          <w:szCs w:val="24"/>
        </w:rPr>
        <w:t>и</w:t>
      </w:r>
      <w:proofErr w:type="gramEnd"/>
      <w:r w:rsidRPr="000C1E52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ее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отдельными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C1E52">
        <w:rPr>
          <w:rFonts w:hAnsi="Times New Roman" w:cs="Times New Roman"/>
          <w:color w:val="000000"/>
          <w:sz w:val="24"/>
          <w:szCs w:val="24"/>
        </w:rPr>
        <w:t>работниками</w:t>
      </w:r>
      <w:proofErr w:type="spellEnd"/>
      <w:r w:rsidRPr="000C1E52">
        <w:rPr>
          <w:rFonts w:hAnsi="Times New Roman" w:cs="Times New Roman"/>
          <w:color w:val="000000"/>
          <w:sz w:val="24"/>
          <w:szCs w:val="24"/>
        </w:rPr>
        <w:t>;</w:t>
      </w:r>
    </w:p>
    <w:p w:rsidR="000C1E52" w:rsidRDefault="002006FA" w:rsidP="000C1E52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взаимодействие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рамках бизнес-процесса с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 государственных (муниципальных) органов, государственных корпораций (компаний), организаций, созданных для выполнения задач, поставленных перед государственными органами;</w:t>
      </w:r>
    </w:p>
    <w:p w:rsidR="000C1E52" w:rsidRDefault="002006FA" w:rsidP="000C1E52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наличие лиц, заинтересованных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получении недоступной им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информации, которой обладают работники 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>организации;</w:t>
      </w:r>
    </w:p>
    <w:p w:rsidR="000C1E52" w:rsidRDefault="002006FA" w:rsidP="000C1E52">
      <w:pPr>
        <w:pStyle w:val="a3"/>
        <w:numPr>
          <w:ilvl w:val="0"/>
          <w:numId w:val="27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наличие сведений о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распространенности коррупционных правонарушений при реализации бизнес-процесса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proofErr w:type="gramStart"/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прошлом или аналогичных бизнес-процессов</w:t>
      </w:r>
      <w:proofErr w:type="gramEnd"/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других организациях.</w:t>
      </w:r>
    </w:p>
    <w:p w:rsidR="00C23B4D" w:rsidRPr="000C1E52" w:rsidRDefault="002006FA" w:rsidP="000C1E52">
      <w:pPr>
        <w:spacing w:before="0" w:beforeAutospacing="0" w:after="0" w:afterAutospacing="0"/>
        <w:ind w:right="180" w:firstLine="36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числу направлений деятельности, потенциально связанных с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наиболее высокими коррупционными рисками,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первую очередь относятся следующие:</w:t>
      </w:r>
    </w:p>
    <w:p w:rsidR="00C23B4D" w:rsidRPr="002006FA" w:rsidRDefault="002006FA" w:rsidP="002006F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закупка товаров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услуг для нужд Организации;</w:t>
      </w:r>
    </w:p>
    <w:p w:rsidR="00C23B4D" w:rsidRPr="002006FA" w:rsidRDefault="002006FA" w:rsidP="002006F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получение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сдача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аренду имущества;</w:t>
      </w:r>
    </w:p>
    <w:p w:rsidR="00C23B4D" w:rsidRPr="002006FA" w:rsidRDefault="002006FA" w:rsidP="002006FA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любые функции, предполагающие финансирование деятельности физических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юридических лиц (например, предоставление спонсорской помощи, пожертвований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т. д.).</w:t>
      </w:r>
    </w:p>
    <w:p w:rsidR="000C1E52" w:rsidRDefault="002006FA" w:rsidP="000C1E52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Коррупционные риски могут возникать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процессах управления персоналом организации,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частности при распределении фондов оплаты труда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 о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премировании работников.</w:t>
      </w:r>
    </w:p>
    <w:p w:rsidR="00C23B4D" w:rsidRPr="000C1E52" w:rsidRDefault="002006FA" w:rsidP="000C1E52">
      <w:pPr>
        <w:pStyle w:val="a3"/>
        <w:numPr>
          <w:ilvl w:val="2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этапе идентификации коррупционных рисков ответственные выделяют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каждом анализируемом бизнес-процессе критические точки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приводят общее описание возможностей для реализации коррупционных рисков в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каждой критической точке.</w:t>
      </w:r>
    </w:p>
    <w:p w:rsidR="00C23B4D" w:rsidRPr="002006FA" w:rsidRDefault="002006FA" w:rsidP="000C1E52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Признаками критической точки являются следующие: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3B4D" w:rsidRPr="002006FA" w:rsidRDefault="002006FA" w:rsidP="002006F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наличие у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работника (группы работников) полномочий совершить действие (бездействие), которое позволяет получить выгоду (преимущество) работнику, структурному подразделению 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физическому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> и (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или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юридическому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лицу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взаимодействующему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</w:rPr>
        <w:t>Организацией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</w:rPr>
        <w:t>;</w:t>
      </w:r>
    </w:p>
    <w:p w:rsidR="00C23B4D" w:rsidRPr="002006FA" w:rsidRDefault="002006FA" w:rsidP="002006FA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работника (группы работников) с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органом (иной регулирующей организацией), уполномоченным совершать действия, важные для успешной реализации бизнес-процесса и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(или) успешного функционирования Организации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целом.</w:t>
      </w:r>
    </w:p>
    <w:p w:rsidR="00C23B4D" w:rsidRPr="002006FA" w:rsidRDefault="002006FA" w:rsidP="000C1E52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При выявлении критических точек задаются вопросы:</w:t>
      </w:r>
      <w:r w:rsidR="000C1E5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23B4D" w:rsidRPr="002006FA" w:rsidRDefault="002006FA" w:rsidP="002006F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какая выгода (преимущество) распределяется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данного </w:t>
      </w:r>
      <w:proofErr w:type="spellStart"/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подпроцесса</w:t>
      </w:r>
      <w:proofErr w:type="spellEnd"/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?</w:t>
      </w:r>
    </w:p>
    <w:p w:rsidR="00C23B4D" w:rsidRPr="002006FA" w:rsidRDefault="002006FA" w:rsidP="002006FA">
      <w:pPr>
        <w:numPr>
          <w:ilvl w:val="0"/>
          <w:numId w:val="1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кто может быть заинтересован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неправомерном распределении этой выгоды (преимущества)?</w:t>
      </w:r>
    </w:p>
    <w:p w:rsidR="00C23B4D" w:rsidRPr="002006FA" w:rsidRDefault="002006FA" w:rsidP="002006FA">
      <w:pPr>
        <w:numPr>
          <w:ilvl w:val="0"/>
          <w:numId w:val="1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какие коррупционные правонарушения могут быть совершены работником 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целях неправомерного распределения этой выгоды (преимущества)?</w:t>
      </w:r>
    </w:p>
    <w:p w:rsidR="000C1E52" w:rsidRDefault="002006FA" w:rsidP="000C1E52">
      <w:pPr>
        <w:spacing w:before="0" w:beforeAutospacing="0" w:after="0" w:afterAutospacing="0"/>
        <w:ind w:firstLine="4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2006FA">
        <w:rPr>
          <w:rFonts w:hAnsi="Times New Roman" w:cs="Times New Roman"/>
          <w:color w:val="000000"/>
          <w:sz w:val="24"/>
          <w:szCs w:val="24"/>
        </w:rPr>
        <w:t> </w:t>
      </w:r>
      <w:r w:rsidRPr="002006FA">
        <w:rPr>
          <w:rFonts w:hAnsi="Times New Roman" w:cs="Times New Roman"/>
          <w:color w:val="000000"/>
          <w:sz w:val="24"/>
          <w:szCs w:val="24"/>
          <w:lang w:val="ru-RU"/>
        </w:rPr>
        <w:t>рамках одного бизнес-процесса может быть выявлено несколько критических точек.</w:t>
      </w:r>
    </w:p>
    <w:p w:rsidR="00B44767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этапе анализа коррупционных рисков определяют для каждой выявленной критической точки вероятный способ совершения коррупционного правонарушения работниками (коррупционную схему) и</w:t>
      </w:r>
      <w:r w:rsidRPr="000C1E52">
        <w:rPr>
          <w:rFonts w:hAnsi="Times New Roman" w:cs="Times New Roman"/>
          <w:color w:val="000000"/>
          <w:sz w:val="24"/>
          <w:szCs w:val="24"/>
        </w:rPr>
        <w:t> </w:t>
      </w:r>
      <w:r w:rsidRPr="000C1E52">
        <w:rPr>
          <w:rFonts w:hAnsi="Times New Roman" w:cs="Times New Roman"/>
          <w:color w:val="000000"/>
          <w:sz w:val="24"/>
          <w:szCs w:val="24"/>
          <w:lang w:val="ru-RU"/>
        </w:rPr>
        <w:t>должности (полномочия) работников, наличие которых требуется для реализации каждой коррупционной схемы.</w:t>
      </w:r>
    </w:p>
    <w:p w:rsidR="00C23B4D" w:rsidRPr="00B44767" w:rsidRDefault="002006FA" w:rsidP="00B4476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основе анализа критических точек составляют формализованное описание коррупционных рисков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точке, включающее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том числе: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краткое описание распределяемой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выгоды (преимущества), стремление к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получению которой работником (или) контрагентами является причиной совершения работником коррупционного правонарушения;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перечень потенциальных выгодоприобретателей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– лиц, которые стремятся извлечь выгоду (преимущество) из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совершения работником коррупционного правонарушения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перечень должностей работников, без участия которых неправомерное распределение выгоды (преимущества)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критической точке невозможно или крайне затруднительно (перечень должностей, замещение которых связано с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рисками), с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указанием возможной роли каждого работника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реализации коррупционной схемы;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краткое описание выгоды, получаемой работником (работниками), связанными с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ним лицами или непосредственно самой Организацией,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результате совершения коррупционного правонарушения;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описание возможных способов передачи работнику (работникам) или должностному лицу (должностным лицам), с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которым взаимодействует Организация, вознаграждения за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совершение коррупционного правонарушения;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 xml:space="preserve">краткое описание способа совершения коррупционного правонарушения (коррупционной схемы), </w:t>
      </w:r>
      <w:proofErr w:type="gramStart"/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proofErr w:type="gramEnd"/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: «Принятие решения о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закупке для нужд организации товаров на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заведомо невыгодных условиях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целях получения незаконного вознаграждения от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поставщика»;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развернутое описание способа совершения коррупционного правонарушения (коррупционной схемы),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том числе: инициатор коррупционного взаимодействия, последовательность действий и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взаимодействий работника (работников) и контрагентов по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неправомерному распределению выгоды (преимущества) и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передаче работнику (работникам) или должностным лицам, с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которыми взаимодействует Организация, незаконного вознаграждения;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состав коррупционных правонарушений, которые должны быть совершены работником (работниками) для реализации коррупционной схемы, с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указанием ссылок на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конкретные положения нормативных правовых актов (по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возможности);</w:t>
      </w:r>
    </w:p>
    <w:p w:rsid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процедуры внутреннего контроля в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рассматриваемой критической точке: работники (структурные подразделения), наделенные полномочиями по</w:t>
      </w:r>
      <w:r w:rsidRPr="00B44767">
        <w:rPr>
          <w:rFonts w:hAnsi="Times New Roman" w:cs="Times New Roman"/>
          <w:color w:val="000000"/>
          <w:sz w:val="24"/>
          <w:szCs w:val="24"/>
        </w:rPr>
        <w:t> </w:t>
      </w: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осуществлению внутреннего контроля; периодичность контрольных мероприятий; краткое описание контрольных мероприятий;</w:t>
      </w:r>
    </w:p>
    <w:p w:rsidR="00C23B4D" w:rsidRPr="00B44767" w:rsidRDefault="002006FA" w:rsidP="002006FA">
      <w:pPr>
        <w:pStyle w:val="a3"/>
        <w:numPr>
          <w:ilvl w:val="0"/>
          <w:numId w:val="2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44767">
        <w:rPr>
          <w:rFonts w:hAnsi="Times New Roman" w:cs="Times New Roman"/>
          <w:color w:val="000000"/>
          <w:sz w:val="24"/>
          <w:szCs w:val="24"/>
          <w:lang w:val="ru-RU"/>
        </w:rPr>
        <w:t>возможные способы обхода механизмов внутреннего контроля.</w:t>
      </w:r>
    </w:p>
    <w:p w:rsidR="004F6691" w:rsidRPr="004F6691" w:rsidRDefault="002006FA" w:rsidP="004F6691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итогам оценки коррупционных рисков они ранжируются,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для каждой выявленной критической точки определяются возможные меры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минимизации соответствующих коррупционных рисков. Дополнительно 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оценивается объем финансовых затрат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реализацию этих мер, 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также кадровые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иные ресурсы, необходимые для проведения соответствующих мероприятий.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Общий перечень выявленных коррупционных рисков оформляется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виде реестра (карты) коррупционных рисков.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качестве пояснения к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реестру прикладывают отчет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проведении оценки коррупционных рисков, содержащий детальную информацию об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использованных способах сбора необходимой информации, расчета основных показателей, обоснование предлагаемых мер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минимизации идентифицированных коррупционных рисков, 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также формализованные описания коррупционных рисков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каждой выявленной критической точке.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основании результатов анализа коррупционных рисков формируется перечень должностей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организации, замещение которых связано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коррупционными рисками,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проект плана мероприятий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минимизации коррупционных рисков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Организации.</w:t>
      </w:r>
    </w:p>
    <w:p w:rsidR="004F6691" w:rsidRDefault="004F6691" w:rsidP="004F669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F6691" w:rsidRPr="004F6691" w:rsidRDefault="002006FA" w:rsidP="002006FA">
      <w:pPr>
        <w:pStyle w:val="a3"/>
        <w:numPr>
          <w:ilvl w:val="0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Правила принятия мер</w:t>
      </w:r>
      <w:r w:rsidRPr="004F669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</w:t>
      </w:r>
      <w:r w:rsidRPr="004F6691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bCs/>
          <w:color w:val="000000"/>
          <w:sz w:val="24"/>
          <w:szCs w:val="24"/>
          <w:lang w:val="ru-RU"/>
        </w:rPr>
        <w:t>предотвращению и</w:t>
      </w:r>
      <w:r w:rsidRPr="004F6691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bCs/>
          <w:color w:val="000000"/>
          <w:sz w:val="24"/>
          <w:szCs w:val="24"/>
          <w:lang w:val="ru-RU"/>
        </w:rPr>
        <w:t>урегулированию конфликта интересов</w:t>
      </w:r>
      <w:r w:rsidR="004F6691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C23B4D" w:rsidRPr="004F6691" w:rsidRDefault="002006FA" w:rsidP="004F6691">
      <w:pPr>
        <w:pStyle w:val="a3"/>
        <w:numPr>
          <w:ilvl w:val="1"/>
          <w:numId w:val="18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Деятельность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предотвращению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 осуществляется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основании следующих основных принципов:</w:t>
      </w:r>
    </w:p>
    <w:p w:rsidR="004F6691" w:rsidRDefault="002006FA" w:rsidP="004F6691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приоритетного применения мер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коррупции;</w:t>
      </w:r>
    </w:p>
    <w:p w:rsidR="004F6691" w:rsidRDefault="002006FA" w:rsidP="004F6691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обязательности раскрытия сведений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реальном или потенциальном конфликте интересов;</w:t>
      </w:r>
    </w:p>
    <w:p w:rsidR="004F6691" w:rsidRDefault="002006FA" w:rsidP="004F6691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индивидуального рассмотрения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оценки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репутационных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 рисков для Организации при выявлении каждого конфликта интересов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его урегулировании;</w:t>
      </w:r>
    </w:p>
    <w:p w:rsidR="004F6691" w:rsidRDefault="002006FA" w:rsidP="004F6691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конфиденциальности сведений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процессе его урегулирования;</w:t>
      </w:r>
    </w:p>
    <w:p w:rsidR="004F6691" w:rsidRDefault="002006FA" w:rsidP="004F6691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соблюдения баланса интересов Организации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ее работника при урегулировании конфликта интересов;</w:t>
      </w:r>
    </w:p>
    <w:p w:rsidR="004F6691" w:rsidRDefault="002006FA" w:rsidP="002006FA">
      <w:pPr>
        <w:pStyle w:val="a3"/>
        <w:numPr>
          <w:ilvl w:val="0"/>
          <w:numId w:val="29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защиты работника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преследования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направлением уведомления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интересов, который был своевременно раскрыт работником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урегулирован (предотвращен) Организацией.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Руководитель Организации создает комиссию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конфликта интересов работников (далее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– Комиссия), которая рассматривает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разрешает конфликт интересов работников.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состав Комиссии входят работники Организации, председателем Комиссии является заместитель директора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безопасности.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своей деятельности Комиссия руководствуется нормами федерального, регионального, муниципального законодательства, локальными нормативными актами Организации,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том числе определяющими порядок деятельности Комиссии.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Решение Комиссии является обязательным для всех работников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подлежит исполнению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сроки, предусмотренные указанным решением</w:t>
      </w:r>
      <w:r w:rsidR="004F66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6691" w:rsidRDefault="002006FA" w:rsidP="004F6691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Конфликт интересов педагогического работника, понимаемый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смыслу пункта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33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статьи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273-ФЗ, рассматривается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 между участниками образовательных отношений. Порядок создания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деятельности Комиссии предусматривается Положением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комиссии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урегулированию 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споров между участниками образовательных отношений МБОУ Центр образования №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1.</w:t>
      </w:r>
    </w:p>
    <w:p w:rsidR="00C23B4D" w:rsidRPr="004F6691" w:rsidRDefault="002006FA" w:rsidP="004F6691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 при выполнении своих должностных обязанностей обязан:</w:t>
      </w:r>
    </w:p>
    <w:p w:rsidR="004F6691" w:rsidRDefault="002006FA" w:rsidP="004F6691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соблюдать интересы Организации, прежде всего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отношении целей ее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деятельности;</w:t>
      </w:r>
    </w:p>
    <w:p w:rsidR="004F6691" w:rsidRDefault="002006FA" w:rsidP="004F6691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руководствоваться интересами Организации без учета своих личных интересов, интересов своих родственников, друзей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третьих лиц;</w:t>
      </w:r>
    </w:p>
    <w:p w:rsidR="004F6691" w:rsidRDefault="002006FA" w:rsidP="004F6691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избегать ситуаций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обстоятельств, которые могут привести к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интересов;</w:t>
      </w:r>
    </w:p>
    <w:p w:rsidR="004F6691" w:rsidRDefault="002006FA" w:rsidP="004F6691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раскрывать возникший (реальный) или потенциальный конфликт интересов;</w:t>
      </w:r>
    </w:p>
    <w:p w:rsidR="004F6691" w:rsidRDefault="002006FA" w:rsidP="002006FA">
      <w:pPr>
        <w:pStyle w:val="a3"/>
        <w:numPr>
          <w:ilvl w:val="0"/>
          <w:numId w:val="30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содействовать урегулированию возникшего конфликта интересов.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 при выполнении своих должностных обязанностей не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должен использовать возможности Организации или допускать их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использование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иных целях, помимо предусмотренных уставом организации</w:t>
      </w:r>
      <w:r w:rsidR="004F669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принимать меры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предотвращению ситуации конфликта интересов, руководствуясь требованиями законодательства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Политикой.</w:t>
      </w:r>
    </w:p>
    <w:p w:rsidR="004F6691" w:rsidRDefault="002006FA" w:rsidP="002006FA">
      <w:pPr>
        <w:pStyle w:val="a3"/>
        <w:numPr>
          <w:ilvl w:val="1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Примерный перечень ситуаций, при которых возникает или может возникнуть конфликт интересов:</w:t>
      </w:r>
    </w:p>
    <w:p w:rsidR="004F6691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Директор или работник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своих трудовых обязанностей участвует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принятии решений, которые могут принести материальную или нематериальную выгоду лицам, являющимся его родственниками, или иным лицам,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которыми связана его личная заинтересованность. Например,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если одной из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кандидатур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вакантную должность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 является родственник или иное лицо,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директора Организации или указанного работника Организации.</w:t>
      </w:r>
    </w:p>
    <w:p w:rsidR="004F6691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Работник, ответственный за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закупку товаров, работ, услуг для обеспечения государственных (муниципальных) нужд, участвует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выборе из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ограниченного числа поставщиков контрагента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– индивидуального предпринимателя, являющегося его родственником, иным близким лицом, или организации,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которой руководителем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или заместителем является его родственник или иное лицо,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 организации.</w:t>
      </w:r>
    </w:p>
    <w:p w:rsidR="004F6691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Работник, его родственник или иное лицо,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работника, получает материальные блага или услуги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Организации, которая имеет деловые отношения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организацией. Например,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случае если такой работник, его родственник или иное лицо получает значительную скидку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товары, работы, услуги контрагента, являющегося поставщиком товаров, работ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услуг Организации.</w:t>
      </w:r>
    </w:p>
    <w:p w:rsidR="004F6691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 использует информацию, ставшую ему известной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обязанностей, для получения выгоды для себя или иного лица,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работника.</w:t>
      </w:r>
    </w:p>
    <w:p w:rsidR="004F6691" w:rsidRDefault="002006FA" w:rsidP="004F6691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Педагогический работник осуществляет частное репетиторство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обучающимся класса,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котором является классным руководителем,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Организации. Такой конфликт интересов рассматривается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заседании Комиссии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урегулированию споров.</w:t>
      </w:r>
    </w:p>
    <w:p w:rsidR="004F6691" w:rsidRDefault="002006FA" w:rsidP="002006FA">
      <w:pPr>
        <w:pStyle w:val="a3"/>
        <w:numPr>
          <w:ilvl w:val="2"/>
          <w:numId w:val="18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Раскрытие конфликта интересов осуществляется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письменной форме путем направления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имя заместителя директора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безопасности уведомления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наличии личной заинтересованности при исполнении 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обязанностей, которая приводит или может привести к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конфликту интересов.</w:t>
      </w:r>
      <w:r w:rsid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4F6691" w:rsidRPr="004F6691" w:rsidRDefault="002006FA" w:rsidP="004F6691">
      <w:pPr>
        <w:pStyle w:val="a3"/>
        <w:numPr>
          <w:ilvl w:val="1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Уведомление передается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Комиссию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подлежит регистрации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течение двух рабочих дней со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дня поступления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журнале регистрации уведомлений работников организации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наличии личной заинтересованности.</w:t>
      </w:r>
    </w:p>
    <w:p w:rsidR="004F6691" w:rsidRDefault="002006FA" w:rsidP="002006FA">
      <w:pPr>
        <w:pStyle w:val="a3"/>
        <w:numPr>
          <w:ilvl w:val="1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Допустимо первоначальное раскрытие информации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конфликте интересов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устной форме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последующей фиксацией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письменном виде.</w:t>
      </w:r>
    </w:p>
    <w:p w:rsidR="004F6691" w:rsidRDefault="002006FA" w:rsidP="002006FA">
      <w:pPr>
        <w:pStyle w:val="a3"/>
        <w:numPr>
          <w:ilvl w:val="1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Порядок согласования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учредителем сделок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заинтересованностью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случаи, при которых такое согласование необходимо, определяется статьей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27 Федерального закона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12.01.1996 №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7-ФЗ, 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также региональными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муниципальными нормативными правовыми актами.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случае несоблюдения предусмотренного законодательством порядка одобрения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такая сделка может быть признана судом недействительной.</w:t>
      </w:r>
    </w:p>
    <w:p w:rsidR="00C23B4D" w:rsidRPr="004F6691" w:rsidRDefault="002006FA" w:rsidP="002006FA">
      <w:pPr>
        <w:pStyle w:val="a3"/>
        <w:numPr>
          <w:ilvl w:val="1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Способами урегулирования конфликта интересов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 могут быть: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ограничение доступа работника к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информации, которая может затрагивать его личные интересы;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добровольный отказ работника или его отстранение (постоянное или временное)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участия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обсуждении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процессе принятия решений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вопросам, которые находятся или могут оказаться под влиянием конфликта интересов;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пересмотр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изменение должностных обязанностей работника;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перевод работника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должность, предусматривающую выполнение функциональных обязанностей, исключающих конфликт интересов,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Трудовым кодексом РФ;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своего личного интереса, порождающего конфликт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интересами организации;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увольнение работника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основаниям, установленным Трудовым кодексом РФ;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отказ работника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принятия решения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пользу лица,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которым связана личная заинтересованность работника;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установление правил, запрещающих работникам разглашение или использование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личных целях информации, ставшей известной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связи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выполнением трудовых обязанностей;</w:t>
      </w:r>
    </w:p>
    <w:p w:rsidR="004F6691" w:rsidRDefault="002006FA" w:rsidP="004F6691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локальные нормативные акты организации, связанные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порядком оказания платных образовательных услуг,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том числе касающиеся запрета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частное репетиторство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территории организации;</w:t>
      </w:r>
    </w:p>
    <w:p w:rsidR="004F6691" w:rsidRDefault="002006FA" w:rsidP="002006FA">
      <w:pPr>
        <w:pStyle w:val="a3"/>
        <w:numPr>
          <w:ilvl w:val="0"/>
          <w:numId w:val="32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иные способы урегулирования конфликта интересов.</w:t>
      </w:r>
    </w:p>
    <w:p w:rsidR="004F6691" w:rsidRDefault="002006FA" w:rsidP="004F6691">
      <w:pPr>
        <w:pStyle w:val="a3"/>
        <w:numPr>
          <w:ilvl w:val="1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При урегулировании конфликта интересов учитывается степень личного интереса работника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вероятность того, что его личный интерес будет реализован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ущерб интересам Организации.</w:t>
      </w:r>
    </w:p>
    <w:p w:rsidR="004F6691" w:rsidRDefault="004F6691" w:rsidP="004F6691">
      <w:p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F6691" w:rsidRPr="004F6691" w:rsidRDefault="002006FA" w:rsidP="002006FA">
      <w:pPr>
        <w:pStyle w:val="a3"/>
        <w:numPr>
          <w:ilvl w:val="0"/>
          <w:numId w:val="31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Порядок взаимодействия с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</w:rPr>
        <w:t> </w:t>
      </w: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правоохранительными</w:t>
      </w:r>
      <w:r w:rsidRPr="004F669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</w:t>
      </w:r>
      <w:r w:rsidRPr="004F6691">
        <w:rPr>
          <w:rFonts w:hAnsi="Times New Roman" w:cs="Times New Roman"/>
          <w:bCs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bCs/>
          <w:color w:val="000000"/>
          <w:sz w:val="24"/>
          <w:szCs w:val="24"/>
          <w:lang w:val="ru-RU"/>
        </w:rPr>
        <w:t>иными государственными органами</w:t>
      </w:r>
      <w:r w:rsidR="004F6691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4F6691" w:rsidRPr="004F6691" w:rsidRDefault="002006FA" w:rsidP="004F6691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Организация сообщает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случаях совершения коррупционных правонарушений,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которых Организации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работникам стало известно.</w:t>
      </w:r>
    </w:p>
    <w:p w:rsidR="004F6691" w:rsidRDefault="002006FA" w:rsidP="004F6691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Организации воздерживается от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каких-либо санкций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отношении своих работников, сообщивших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правоохранительные органы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ставшей им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известной 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ходе выполнения трудовых обязанностей информации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подготовке или совершении коррупционного правонарушения.</w:t>
      </w:r>
    </w:p>
    <w:p w:rsidR="00C23B4D" w:rsidRPr="004F6691" w:rsidRDefault="002006FA" w:rsidP="004F6691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случае обнаружения признаков коррупционных правонарушений Организация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работники обязаны обращаться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 правоохранительные органы:</w:t>
      </w:r>
    </w:p>
    <w:p w:rsidR="004F6691" w:rsidRDefault="002006FA" w:rsidP="004F6691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Следственный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комитет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РФ;</w:t>
      </w:r>
    </w:p>
    <w:p w:rsidR="004F6691" w:rsidRDefault="002006FA" w:rsidP="004F6691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экономической безопасности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противодействия коррупции Министерства внутренних дел РФ;</w:t>
      </w:r>
    </w:p>
    <w:p w:rsidR="004F6691" w:rsidRDefault="002006FA" w:rsidP="004F6691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Главное управление собственной безопасности Министерства внутренних дел РФ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– если сообщение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фактах коррупции касается непосредственно системы МВД России;</w:t>
      </w:r>
    </w:p>
    <w:p w:rsidR="00C23B4D" w:rsidRPr="004F6691" w:rsidRDefault="002006FA" w:rsidP="004F6691">
      <w:pPr>
        <w:pStyle w:val="a3"/>
        <w:numPr>
          <w:ilvl w:val="0"/>
          <w:numId w:val="33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proofErr w:type="gramStart"/>
      <w:r w:rsidRPr="004F6691">
        <w:rPr>
          <w:rFonts w:hAnsi="Times New Roman" w:cs="Times New Roman"/>
          <w:color w:val="000000"/>
          <w:sz w:val="24"/>
          <w:szCs w:val="24"/>
        </w:rPr>
        <w:t>прокуратуру</w:t>
      </w:r>
      <w:proofErr w:type="spellEnd"/>
      <w:proofErr w:type="gramEnd"/>
      <w:r w:rsidRPr="004F669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субъекта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РФ.</w:t>
      </w:r>
    </w:p>
    <w:p w:rsidR="004F6691" w:rsidRDefault="002006FA" w:rsidP="004F6691">
      <w:pPr>
        <w:pStyle w:val="a3"/>
        <w:numPr>
          <w:ilvl w:val="1"/>
          <w:numId w:val="3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Организация сотрудничает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правоохранительными органами также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форме:</w:t>
      </w:r>
    </w:p>
    <w:p w:rsidR="004F6691" w:rsidRDefault="002006FA" w:rsidP="004F6691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организации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вопросам предупреждения коррупции;</w:t>
      </w:r>
    </w:p>
    <w:p w:rsidR="004F6691" w:rsidRDefault="002006FA" w:rsidP="002006FA">
      <w:pPr>
        <w:pStyle w:val="a3"/>
        <w:numPr>
          <w:ilvl w:val="0"/>
          <w:numId w:val="35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оказания содействия уполномоченным представителям правоохранительных органов при проведении мероприятий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пресечению или расследованию коррупционных преступлений, включая оперативно-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разыскные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мероприятия.</w:t>
      </w:r>
    </w:p>
    <w:p w:rsidR="004F6691" w:rsidRDefault="004F6691" w:rsidP="004F6691">
      <w:pPr>
        <w:spacing w:before="0" w:beforeAutospacing="0" w:after="0" w:afterAutospacing="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F6691" w:rsidRPr="004F6691" w:rsidRDefault="002006FA" w:rsidP="002006FA">
      <w:pPr>
        <w:pStyle w:val="a3"/>
        <w:numPr>
          <w:ilvl w:val="0"/>
          <w:numId w:val="34"/>
        </w:numPr>
        <w:spacing w:before="0" w:beforeAutospacing="0" w:after="0" w:afterAutospacing="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Антикоррупционная программа</w:t>
      </w:r>
    </w:p>
    <w:p w:rsidR="004F6691" w:rsidRDefault="002006FA" w:rsidP="002006FA">
      <w:pPr>
        <w:pStyle w:val="a3"/>
        <w:numPr>
          <w:ilvl w:val="1"/>
          <w:numId w:val="3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Организация разрабатывает программу противодействия коррупции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целью упорядочивания антикоррупционных мероприятий Организации.</w:t>
      </w:r>
    </w:p>
    <w:p w:rsidR="00C23B4D" w:rsidRPr="004F6691" w:rsidRDefault="002006FA" w:rsidP="002006FA">
      <w:pPr>
        <w:pStyle w:val="a3"/>
        <w:numPr>
          <w:ilvl w:val="1"/>
          <w:numId w:val="34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противодействия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коррупции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>:</w:t>
      </w:r>
    </w:p>
    <w:p w:rsidR="004F6691" w:rsidRDefault="002006FA" w:rsidP="004F6691">
      <w:pPr>
        <w:pStyle w:val="a3"/>
        <w:numPr>
          <w:ilvl w:val="0"/>
          <w:numId w:val="3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пояснительную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F6691">
        <w:rPr>
          <w:rFonts w:hAnsi="Times New Roman" w:cs="Times New Roman"/>
          <w:color w:val="000000"/>
          <w:sz w:val="24"/>
          <w:szCs w:val="24"/>
        </w:rPr>
        <w:t>записку</w:t>
      </w:r>
      <w:proofErr w:type="spellEnd"/>
      <w:r w:rsidRPr="004F6691">
        <w:rPr>
          <w:rFonts w:hAnsi="Times New Roman" w:cs="Times New Roman"/>
          <w:color w:val="000000"/>
          <w:sz w:val="24"/>
          <w:szCs w:val="24"/>
        </w:rPr>
        <w:t>;</w:t>
      </w:r>
    </w:p>
    <w:p w:rsidR="004F6691" w:rsidRDefault="002006FA" w:rsidP="004F6691">
      <w:pPr>
        <w:pStyle w:val="a3"/>
        <w:numPr>
          <w:ilvl w:val="0"/>
          <w:numId w:val="3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паспорт программы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указанием сроков ее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реализации;</w:t>
      </w:r>
    </w:p>
    <w:p w:rsidR="004F6691" w:rsidRDefault="002006FA" w:rsidP="002006FA">
      <w:pPr>
        <w:pStyle w:val="a3"/>
        <w:numPr>
          <w:ilvl w:val="0"/>
          <w:numId w:val="3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основную часть с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планом программных мероприятий.</w:t>
      </w:r>
    </w:p>
    <w:p w:rsidR="004F6691" w:rsidRDefault="002006FA" w:rsidP="002006FA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Программа противодействия коррупции является частью антикоррупционной политики Организации.</w:t>
      </w:r>
    </w:p>
    <w:p w:rsidR="004F6691" w:rsidRDefault="004F6691" w:rsidP="004F6691">
      <w:p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4F6691" w:rsidRPr="004F6691" w:rsidRDefault="002006FA" w:rsidP="002006FA">
      <w:pPr>
        <w:pStyle w:val="a3"/>
        <w:numPr>
          <w:ilvl w:val="0"/>
          <w:numId w:val="34"/>
        </w:num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ru-RU"/>
        </w:rPr>
      </w:pPr>
      <w:r w:rsidRPr="004F6691">
        <w:rPr>
          <w:rFonts w:ascii="Times New Roman" w:hAnsi="Times New Roman" w:cs="Times New Roman"/>
          <w:bCs/>
          <w:caps/>
          <w:color w:val="000000"/>
          <w:sz w:val="24"/>
          <w:szCs w:val="24"/>
          <w:lang w:val="ru-RU"/>
        </w:rPr>
        <w:t>Изменение Политики</w:t>
      </w:r>
    </w:p>
    <w:p w:rsidR="004F6691" w:rsidRDefault="002006FA" w:rsidP="002006FA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Пересмотр Политики может проводиться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случае внесения соответствующих изменений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действующее законодательство РФ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противодействию коррупции.</w:t>
      </w:r>
    </w:p>
    <w:p w:rsidR="004F6691" w:rsidRDefault="002006FA" w:rsidP="002006FA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Должностное лицо, ответственное за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реализацию Политики, ежегодно готовит отчет 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реализации мер по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предупреждению коррупции, представляет его руководителю Организации. На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основании указанного отчета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Политику могут быть внесены изменения.</w:t>
      </w:r>
    </w:p>
    <w:p w:rsidR="00C23B4D" w:rsidRPr="004F6691" w:rsidRDefault="002006FA" w:rsidP="002006FA">
      <w:pPr>
        <w:pStyle w:val="a3"/>
        <w:numPr>
          <w:ilvl w:val="1"/>
          <w:numId w:val="34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Внесение изменений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дополнений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Политику осуществляется путем подготовки проекта Политики в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обновленной редакции и</w:t>
      </w:r>
      <w:r w:rsidRPr="004F6691">
        <w:rPr>
          <w:rFonts w:hAnsi="Times New Roman" w:cs="Times New Roman"/>
          <w:color w:val="000000"/>
          <w:sz w:val="24"/>
          <w:szCs w:val="24"/>
        </w:rPr>
        <w:t> </w:t>
      </w:r>
      <w:r w:rsidRPr="004F6691">
        <w:rPr>
          <w:rFonts w:hAnsi="Times New Roman" w:cs="Times New Roman"/>
          <w:color w:val="000000"/>
          <w:sz w:val="24"/>
          <w:szCs w:val="24"/>
          <w:lang w:val="ru-RU"/>
        </w:rPr>
        <w:t>утверждения новой Политики руководителем Организации.</w:t>
      </w:r>
    </w:p>
    <w:sectPr w:rsidR="00C23B4D" w:rsidRPr="004F6691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45056"/>
    <w:multiLevelType w:val="multilevel"/>
    <w:tmpl w:val="7722AE9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D487B"/>
    <w:multiLevelType w:val="multilevel"/>
    <w:tmpl w:val="9C225D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F054F"/>
    <w:multiLevelType w:val="hybridMultilevel"/>
    <w:tmpl w:val="EDE4CD5E"/>
    <w:lvl w:ilvl="0" w:tplc="09DC945A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A580F"/>
    <w:multiLevelType w:val="hybridMultilevel"/>
    <w:tmpl w:val="24B6C5D0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C09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441BC1"/>
    <w:multiLevelType w:val="hybridMultilevel"/>
    <w:tmpl w:val="D57EC9BE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052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062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30344"/>
    <w:multiLevelType w:val="hybridMultilevel"/>
    <w:tmpl w:val="E9B098EE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F4BFB"/>
    <w:multiLevelType w:val="hybridMultilevel"/>
    <w:tmpl w:val="4428236C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A43F51"/>
    <w:multiLevelType w:val="hybridMultilevel"/>
    <w:tmpl w:val="8F32E8BC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750D0"/>
    <w:multiLevelType w:val="hybridMultilevel"/>
    <w:tmpl w:val="00E0063C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77F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E325D2"/>
    <w:multiLevelType w:val="hybridMultilevel"/>
    <w:tmpl w:val="421ED398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77A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4D3421"/>
    <w:multiLevelType w:val="multilevel"/>
    <w:tmpl w:val="E138B6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4249A9"/>
    <w:multiLevelType w:val="hybridMultilevel"/>
    <w:tmpl w:val="3AAC3818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4E6268"/>
    <w:multiLevelType w:val="hybridMultilevel"/>
    <w:tmpl w:val="0430F508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B03E7"/>
    <w:multiLevelType w:val="hybridMultilevel"/>
    <w:tmpl w:val="A3D4A104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EF55EC"/>
    <w:multiLevelType w:val="hybridMultilevel"/>
    <w:tmpl w:val="F5847F0E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C35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B74FB4"/>
    <w:multiLevelType w:val="hybridMultilevel"/>
    <w:tmpl w:val="E10AEC4A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DF4D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197E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1643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C955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49E7CE9"/>
    <w:multiLevelType w:val="multilevel"/>
    <w:tmpl w:val="828CD6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FF76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F660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5C176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18220A"/>
    <w:multiLevelType w:val="hybridMultilevel"/>
    <w:tmpl w:val="46386458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242F5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2607F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036FC2"/>
    <w:multiLevelType w:val="multilevel"/>
    <w:tmpl w:val="10BC58F8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78D307A"/>
    <w:multiLevelType w:val="hybridMultilevel"/>
    <w:tmpl w:val="F3FCC8CC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AE76AD"/>
    <w:multiLevelType w:val="hybridMultilevel"/>
    <w:tmpl w:val="5794401A"/>
    <w:lvl w:ilvl="0" w:tplc="4D46D1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8"/>
  </w:num>
  <w:num w:numId="3">
    <w:abstractNumId w:val="29"/>
  </w:num>
  <w:num w:numId="4">
    <w:abstractNumId w:val="32"/>
  </w:num>
  <w:num w:numId="5">
    <w:abstractNumId w:val="31"/>
  </w:num>
  <w:num w:numId="6">
    <w:abstractNumId w:val="23"/>
  </w:num>
  <w:num w:numId="7">
    <w:abstractNumId w:val="7"/>
  </w:num>
  <w:num w:numId="8">
    <w:abstractNumId w:val="20"/>
  </w:num>
  <w:num w:numId="9">
    <w:abstractNumId w:val="15"/>
  </w:num>
  <w:num w:numId="10">
    <w:abstractNumId w:val="1"/>
  </w:num>
  <w:num w:numId="11">
    <w:abstractNumId w:val="0"/>
  </w:num>
  <w:num w:numId="12">
    <w:abstractNumId w:val="12"/>
  </w:num>
  <w:num w:numId="13">
    <w:abstractNumId w:val="24"/>
  </w:num>
  <w:num w:numId="14">
    <w:abstractNumId w:val="14"/>
  </w:num>
  <w:num w:numId="15">
    <w:abstractNumId w:val="27"/>
  </w:num>
  <w:num w:numId="16">
    <w:abstractNumId w:val="25"/>
  </w:num>
  <w:num w:numId="17">
    <w:abstractNumId w:val="22"/>
  </w:num>
  <w:num w:numId="18">
    <w:abstractNumId w:val="6"/>
  </w:num>
  <w:num w:numId="19">
    <w:abstractNumId w:val="2"/>
  </w:num>
  <w:num w:numId="20">
    <w:abstractNumId w:val="3"/>
  </w:num>
  <w:num w:numId="21">
    <w:abstractNumId w:val="21"/>
  </w:num>
  <w:num w:numId="22">
    <w:abstractNumId w:val="19"/>
  </w:num>
  <w:num w:numId="23">
    <w:abstractNumId w:val="13"/>
  </w:num>
  <w:num w:numId="24">
    <w:abstractNumId w:val="9"/>
  </w:num>
  <w:num w:numId="25">
    <w:abstractNumId w:val="8"/>
  </w:num>
  <w:num w:numId="26">
    <w:abstractNumId w:val="35"/>
  </w:num>
  <w:num w:numId="27">
    <w:abstractNumId w:val="16"/>
  </w:num>
  <w:num w:numId="28">
    <w:abstractNumId w:val="5"/>
  </w:num>
  <w:num w:numId="29">
    <w:abstractNumId w:val="18"/>
  </w:num>
  <w:num w:numId="30">
    <w:abstractNumId w:val="30"/>
  </w:num>
  <w:num w:numId="31">
    <w:abstractNumId w:val="33"/>
  </w:num>
  <w:num w:numId="32">
    <w:abstractNumId w:val="17"/>
  </w:num>
  <w:num w:numId="33">
    <w:abstractNumId w:val="11"/>
  </w:num>
  <w:num w:numId="34">
    <w:abstractNumId w:val="26"/>
  </w:num>
  <w:num w:numId="35">
    <w:abstractNumId w:val="10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C1E52"/>
    <w:rsid w:val="002006FA"/>
    <w:rsid w:val="002D33B1"/>
    <w:rsid w:val="002D3591"/>
    <w:rsid w:val="003514A0"/>
    <w:rsid w:val="004F6691"/>
    <w:rsid w:val="004F7E17"/>
    <w:rsid w:val="005A05CE"/>
    <w:rsid w:val="00653AF6"/>
    <w:rsid w:val="00B11102"/>
    <w:rsid w:val="00B44767"/>
    <w:rsid w:val="00B73A5A"/>
    <w:rsid w:val="00C23B4D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68A6455-F4C6-4F0E-973A-892C5D6FF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2006FA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2006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110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10</Pages>
  <Words>4008</Words>
  <Characters>22850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Дьячкова Наталья Петровна</cp:lastModifiedBy>
  <cp:revision>5</cp:revision>
  <cp:lastPrinted>2023-12-21T06:29:00Z</cp:lastPrinted>
  <dcterms:created xsi:type="dcterms:W3CDTF">2011-11-02T04:15:00Z</dcterms:created>
  <dcterms:modified xsi:type="dcterms:W3CDTF">2023-12-21T06:29:00Z</dcterms:modified>
</cp:coreProperties>
</file>